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3C6" w:rsidRDefault="001303C6" w:rsidP="001303C6">
      <w:pPr>
        <w:jc w:val="center"/>
        <w:rPr>
          <w:b/>
        </w:rPr>
      </w:pPr>
      <w:r>
        <w:rPr>
          <w:b/>
        </w:rPr>
        <w:t>СОБРАНИЕ ДЕПУТАТОВ</w:t>
      </w:r>
    </w:p>
    <w:p w:rsidR="001303C6" w:rsidRDefault="001303C6" w:rsidP="001303C6">
      <w:pPr>
        <w:jc w:val="center"/>
        <w:rPr>
          <w:b/>
        </w:rPr>
      </w:pPr>
      <w:r>
        <w:rPr>
          <w:b/>
        </w:rPr>
        <w:t>РУДАВСКОГО СЕЛЬСОВЕТА</w:t>
      </w:r>
    </w:p>
    <w:p w:rsidR="001303C6" w:rsidRDefault="001303C6" w:rsidP="001303C6">
      <w:pPr>
        <w:jc w:val="center"/>
        <w:rPr>
          <w:b/>
        </w:rPr>
      </w:pPr>
      <w:r>
        <w:rPr>
          <w:b/>
        </w:rPr>
        <w:t xml:space="preserve">ОБОЯНСКОГО РАЙОНА </w:t>
      </w:r>
    </w:p>
    <w:p w:rsidR="001303C6" w:rsidRDefault="001303C6" w:rsidP="001303C6">
      <w:pPr>
        <w:jc w:val="center"/>
        <w:rPr>
          <w:b/>
        </w:rPr>
      </w:pPr>
    </w:p>
    <w:p w:rsidR="001303C6" w:rsidRDefault="001303C6" w:rsidP="001303C6">
      <w:pPr>
        <w:shd w:val="clear" w:color="auto" w:fill="FFFFFF"/>
        <w:jc w:val="center"/>
      </w:pPr>
      <w:r>
        <w:rPr>
          <w:b/>
        </w:rPr>
        <w:t>РЕШЕНИЕ</w:t>
      </w:r>
    </w:p>
    <w:p w:rsidR="001303C6" w:rsidRDefault="001303C6" w:rsidP="001303C6">
      <w:pPr>
        <w:jc w:val="both"/>
      </w:pPr>
    </w:p>
    <w:p w:rsidR="001303C6" w:rsidRDefault="001303C6" w:rsidP="001303C6">
      <w:pPr>
        <w:jc w:val="center"/>
        <w:rPr>
          <w:b/>
        </w:rPr>
      </w:pPr>
      <w:r>
        <w:rPr>
          <w:b/>
        </w:rPr>
        <w:t>от 27.06.2022                                                               № 16/84</w:t>
      </w:r>
    </w:p>
    <w:p w:rsidR="001303C6" w:rsidRDefault="001303C6" w:rsidP="001303C6">
      <w:pPr>
        <w:jc w:val="center"/>
        <w:rPr>
          <w:b/>
        </w:rPr>
      </w:pPr>
    </w:p>
    <w:p w:rsidR="001303C6" w:rsidRDefault="001303C6" w:rsidP="001303C6">
      <w:pPr>
        <w:jc w:val="center"/>
        <w:rPr>
          <w:b/>
        </w:rPr>
      </w:pPr>
      <w:r>
        <w:rPr>
          <w:b/>
        </w:rPr>
        <w:t>Об условиях приватизации муниципального имущества</w:t>
      </w:r>
    </w:p>
    <w:p w:rsidR="001303C6" w:rsidRDefault="001303C6" w:rsidP="001303C6">
      <w:pPr>
        <w:ind w:firstLine="900"/>
        <w:jc w:val="both"/>
        <w:rPr>
          <w:rFonts w:ascii="Arial" w:hAnsi="Arial" w:cs="Arial"/>
          <w:b/>
        </w:rPr>
      </w:pPr>
    </w:p>
    <w:p w:rsidR="001303C6" w:rsidRDefault="001303C6" w:rsidP="001303C6">
      <w:pPr>
        <w:ind w:firstLine="426"/>
        <w:jc w:val="both"/>
      </w:pPr>
      <w:r>
        <w:t xml:space="preserve">В соответствии со статьей 209 ГК РФ,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>
        <w:t>Рудавского</w:t>
      </w:r>
      <w:proofErr w:type="spell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 Курской области от 27.06.2022г. №16/83 «Об утверждении прогнозного плана приватизации муниципального имущества на 2022г. и планируемые 2023-2024г.г.», Уставом муниципального образования «</w:t>
      </w:r>
      <w:proofErr w:type="spellStart"/>
      <w:r>
        <w:t>Рудавский</w:t>
      </w:r>
      <w:proofErr w:type="spellEnd"/>
      <w:r>
        <w:t xml:space="preserve"> сельсовет» </w:t>
      </w:r>
      <w:proofErr w:type="spellStart"/>
      <w:r>
        <w:t>Обоянского</w:t>
      </w:r>
      <w:proofErr w:type="spellEnd"/>
      <w:r>
        <w:t xml:space="preserve"> района Курской области, Собрание депутатов </w:t>
      </w:r>
      <w:proofErr w:type="spellStart"/>
      <w:r>
        <w:t>Рудавского</w:t>
      </w:r>
      <w:proofErr w:type="spell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  </w:t>
      </w:r>
    </w:p>
    <w:p w:rsidR="001303C6" w:rsidRDefault="001303C6" w:rsidP="001303C6">
      <w:pPr>
        <w:ind w:firstLine="426"/>
        <w:jc w:val="both"/>
        <w:rPr>
          <w:b/>
        </w:rPr>
      </w:pPr>
      <w:r>
        <w:rPr>
          <w:b/>
        </w:rPr>
        <w:t>РЕШИЛО:</w:t>
      </w:r>
    </w:p>
    <w:p w:rsidR="001303C6" w:rsidRDefault="001303C6" w:rsidP="001303C6">
      <w:pPr>
        <w:ind w:firstLine="426"/>
        <w:jc w:val="both"/>
      </w:pPr>
      <w:r>
        <w:t>1. Приватизировать принадлежащее на праве собственности муниципальному образованию «</w:t>
      </w:r>
      <w:proofErr w:type="spellStart"/>
      <w:r>
        <w:t>Рудавский</w:t>
      </w:r>
      <w:proofErr w:type="spellEnd"/>
      <w:r>
        <w:t xml:space="preserve"> сельсовет» </w:t>
      </w:r>
      <w:proofErr w:type="spellStart"/>
      <w:r>
        <w:t>Обоянского</w:t>
      </w:r>
      <w:proofErr w:type="spellEnd"/>
      <w:r>
        <w:t xml:space="preserve"> района Курской области имущество, согласно Приложению №1 к настоящему Решению, путём его продажи на открытом аукционе в электронной форме.</w:t>
      </w:r>
    </w:p>
    <w:p w:rsidR="001303C6" w:rsidRDefault="001303C6" w:rsidP="001303C6">
      <w:pPr>
        <w:ind w:firstLine="426"/>
        <w:jc w:val="both"/>
      </w:pPr>
      <w:r>
        <w:t>2. Установить начальную цену имущества, указанного в Приложении №1 к настоящему Решению, а также размер задатка и величину повышения начальной цены (шаг аукциона), исходя из отчёта №75/2-04-22 составленного в соответствии с законодательством Российской Федерации об оценочной деятельности частнопрактикующим оценщиком Купиной Н.В., об оценке рыночной стоимости объекта недвижимого имущества, принадлежащего на праве собственности МО «</w:t>
      </w:r>
      <w:proofErr w:type="spellStart"/>
      <w:r>
        <w:t>Рудавский</w:t>
      </w:r>
      <w:proofErr w:type="spellEnd"/>
      <w:r>
        <w:t xml:space="preserve"> сельсовет» </w:t>
      </w:r>
      <w:proofErr w:type="spellStart"/>
      <w:r>
        <w:t>Обоянского</w:t>
      </w:r>
      <w:proofErr w:type="spellEnd"/>
      <w:r>
        <w:t xml:space="preserve"> района Курской области по состоянию на 14.04.2022г. – нежилого здания (столовая) общей площадью 134,5 кв.м. с кадастровым номером 46:16:170301:724, расположенного на земельном участке площадью 360 кв.м. с кадастровым номером 46:16:170301:721 по адресу: Курская область, </w:t>
      </w:r>
      <w:proofErr w:type="spellStart"/>
      <w:r>
        <w:t>Обоянский</w:t>
      </w:r>
      <w:proofErr w:type="spellEnd"/>
      <w:r>
        <w:t xml:space="preserve"> район, с. </w:t>
      </w:r>
      <w:proofErr w:type="spellStart"/>
      <w:r>
        <w:t>Рудавец</w:t>
      </w:r>
      <w:proofErr w:type="spellEnd"/>
      <w:r>
        <w:t>, , ул. Выгон, д. 31а (Приложение №1 к настоящему Решению).</w:t>
      </w:r>
    </w:p>
    <w:p w:rsidR="001303C6" w:rsidRDefault="001303C6" w:rsidP="001303C6">
      <w:pPr>
        <w:ind w:firstLine="426"/>
        <w:jc w:val="both"/>
      </w:pPr>
      <w:r>
        <w:t xml:space="preserve">3. Для осуществления функций по организации, проведению и техническому сопровождению процедуры по продаже имущества, указанного в приложении к настоящему Решению, привлечь в качестве специализированной организации общество с ограниченной ответственностью специализированную организацию «Фонд содействия муниципалитетам». </w:t>
      </w:r>
    </w:p>
    <w:p w:rsidR="001303C6" w:rsidRDefault="001303C6" w:rsidP="001303C6">
      <w:pPr>
        <w:ind w:firstLine="426"/>
        <w:jc w:val="both"/>
      </w:pPr>
      <w:r>
        <w:t xml:space="preserve">4. Администрации </w:t>
      </w:r>
      <w:proofErr w:type="spellStart"/>
      <w:r>
        <w:t>Рудавского</w:t>
      </w:r>
      <w:proofErr w:type="spell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 Курской области обеспечить проведение необходимых мероприятий и передать специализированной организации необходимые полномочия в соответствии с контрактом.</w:t>
      </w:r>
    </w:p>
    <w:p w:rsidR="001303C6" w:rsidRDefault="001303C6" w:rsidP="001303C6">
      <w:pPr>
        <w:ind w:firstLine="426"/>
        <w:jc w:val="both"/>
      </w:pPr>
      <w:r>
        <w:t xml:space="preserve">5. Опубликовать настоящее Решение в сети «Интернет» на официальном сайте торгов </w:t>
      </w:r>
      <w:proofErr w:type="spellStart"/>
      <w:r>
        <w:t>www.torgi.gov.ru</w:t>
      </w:r>
      <w:proofErr w:type="spellEnd"/>
      <w:r>
        <w:t xml:space="preserve"> и на официальном сайте муниципального образования «</w:t>
      </w:r>
      <w:proofErr w:type="spellStart"/>
      <w:r>
        <w:t>Рудавский</w:t>
      </w:r>
      <w:proofErr w:type="spellEnd"/>
      <w:r>
        <w:t xml:space="preserve"> сельсовет» </w:t>
      </w:r>
      <w:proofErr w:type="spellStart"/>
      <w:r>
        <w:t>Обоянского</w:t>
      </w:r>
      <w:proofErr w:type="spellEnd"/>
      <w:r>
        <w:t xml:space="preserve"> района Курской области.</w:t>
      </w:r>
    </w:p>
    <w:p w:rsidR="001303C6" w:rsidRDefault="001303C6" w:rsidP="001303C6">
      <w:pPr>
        <w:ind w:firstLine="426"/>
        <w:jc w:val="both"/>
        <w:rPr>
          <w:color w:val="FF0000"/>
        </w:rPr>
      </w:pPr>
      <w:r>
        <w:t>6. Контроль за исполнением настоящего решения оставляю за собой.</w:t>
      </w:r>
    </w:p>
    <w:p w:rsidR="001303C6" w:rsidRDefault="001303C6" w:rsidP="001303C6">
      <w:pPr>
        <w:ind w:firstLine="426"/>
        <w:jc w:val="both"/>
      </w:pPr>
      <w:r>
        <w:t>7. Решение вступает в силу со дня его официального опубликования.</w:t>
      </w:r>
    </w:p>
    <w:p w:rsidR="001303C6" w:rsidRDefault="001303C6" w:rsidP="001303C6">
      <w:pPr>
        <w:ind w:firstLine="426"/>
        <w:jc w:val="both"/>
      </w:pPr>
      <w:r>
        <w:t xml:space="preserve"> </w:t>
      </w:r>
    </w:p>
    <w:p w:rsidR="001303C6" w:rsidRDefault="001303C6" w:rsidP="001303C6">
      <w:pPr>
        <w:ind w:firstLine="567"/>
      </w:pPr>
      <w:r>
        <w:t xml:space="preserve">Председатель Собрания депутатов                                                       </w:t>
      </w:r>
      <w:proofErr w:type="spellStart"/>
      <w:r>
        <w:t>И.Н.Алтунина</w:t>
      </w:r>
      <w:proofErr w:type="spellEnd"/>
    </w:p>
    <w:p w:rsidR="001303C6" w:rsidRDefault="001303C6" w:rsidP="001303C6">
      <w:pPr>
        <w:ind w:firstLine="567"/>
      </w:pPr>
      <w:r>
        <w:t xml:space="preserve">Глава </w:t>
      </w:r>
      <w:proofErr w:type="spellStart"/>
      <w:r>
        <w:t>Рудавского</w:t>
      </w:r>
      <w:proofErr w:type="spell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                               В.В. </w:t>
      </w:r>
      <w:proofErr w:type="spellStart"/>
      <w:r>
        <w:t>Новоженов</w:t>
      </w:r>
      <w:proofErr w:type="spellEnd"/>
    </w:p>
    <w:p w:rsidR="001303C6" w:rsidRDefault="001303C6" w:rsidP="001303C6">
      <w:pPr>
        <w:ind w:firstLine="567"/>
      </w:pPr>
    </w:p>
    <w:p w:rsidR="001303C6" w:rsidRDefault="001303C6" w:rsidP="001303C6">
      <w:pPr>
        <w:ind w:left="5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№ 1</w:t>
      </w:r>
    </w:p>
    <w:p w:rsidR="001303C6" w:rsidRDefault="001303C6" w:rsidP="001303C6">
      <w:pPr>
        <w:ind w:left="5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решению Собрания депутатов </w:t>
      </w:r>
    </w:p>
    <w:p w:rsidR="001303C6" w:rsidRDefault="001303C6" w:rsidP="001303C6">
      <w:pPr>
        <w:ind w:left="52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Рудавского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сельсовета </w:t>
      </w:r>
    </w:p>
    <w:p w:rsidR="001303C6" w:rsidRDefault="001303C6" w:rsidP="001303C6">
      <w:pPr>
        <w:ind w:left="52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Обоянского</w:t>
      </w:r>
      <w:proofErr w:type="spellEnd"/>
      <w:r>
        <w:rPr>
          <w:rFonts w:ascii="Arial" w:hAnsi="Arial" w:cs="Arial"/>
          <w:sz w:val="22"/>
          <w:szCs w:val="22"/>
        </w:rPr>
        <w:t xml:space="preserve"> района </w:t>
      </w:r>
    </w:p>
    <w:p w:rsidR="001303C6" w:rsidRDefault="001303C6" w:rsidP="001303C6">
      <w:pPr>
        <w:ind w:left="5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27.06.2022 г. № 16/84</w:t>
      </w:r>
    </w:p>
    <w:p w:rsidR="001303C6" w:rsidRDefault="001303C6" w:rsidP="001303C6">
      <w:pPr>
        <w:jc w:val="center"/>
        <w:rPr>
          <w:b/>
        </w:rPr>
      </w:pPr>
    </w:p>
    <w:p w:rsidR="001303C6" w:rsidRDefault="001303C6" w:rsidP="001303C6">
      <w:pPr>
        <w:jc w:val="center"/>
        <w:rPr>
          <w:b/>
        </w:rPr>
      </w:pPr>
    </w:p>
    <w:p w:rsidR="001303C6" w:rsidRDefault="001303C6" w:rsidP="001303C6">
      <w:pPr>
        <w:jc w:val="center"/>
        <w:rPr>
          <w:b/>
        </w:rPr>
      </w:pPr>
      <w:r>
        <w:rPr>
          <w:b/>
        </w:rPr>
        <w:t>Перечень</w:t>
      </w:r>
    </w:p>
    <w:p w:rsidR="001303C6" w:rsidRDefault="001303C6" w:rsidP="001303C6">
      <w:pPr>
        <w:jc w:val="center"/>
        <w:rPr>
          <w:b/>
        </w:rPr>
      </w:pPr>
      <w:r>
        <w:rPr>
          <w:b/>
        </w:rPr>
        <w:t>муниципального имущества, подлежащего приватизации в 2022г. и планируемых 2023-2024г.г.</w:t>
      </w:r>
    </w:p>
    <w:p w:rsidR="001303C6" w:rsidRDefault="001303C6" w:rsidP="001303C6">
      <w:pPr>
        <w:jc w:val="center"/>
        <w:rPr>
          <w:b/>
        </w:rPr>
      </w:pPr>
      <w:r>
        <w:rPr>
          <w:b/>
        </w:rPr>
        <w:t xml:space="preserve">Начальная цена первоначального предложения, размер задатка, </w:t>
      </w:r>
    </w:p>
    <w:p w:rsidR="001303C6" w:rsidRDefault="001303C6" w:rsidP="001303C6">
      <w:pPr>
        <w:jc w:val="center"/>
        <w:rPr>
          <w:b/>
        </w:rPr>
      </w:pPr>
      <w:r>
        <w:rPr>
          <w:b/>
        </w:rPr>
        <w:t>величина повышения начальной цены</w:t>
      </w:r>
    </w:p>
    <w:p w:rsidR="001303C6" w:rsidRDefault="001303C6" w:rsidP="001303C6">
      <w:pPr>
        <w:ind w:firstLine="567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20"/>
        <w:gridCol w:w="2018"/>
        <w:gridCol w:w="1913"/>
        <w:gridCol w:w="1236"/>
        <w:gridCol w:w="1255"/>
        <w:gridCol w:w="1118"/>
        <w:gridCol w:w="1130"/>
      </w:tblGrid>
      <w:tr w:rsidR="001303C6" w:rsidTr="001303C6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6" w:rsidRDefault="001303C6">
            <w:pPr>
              <w:ind w:left="-113" w:right="-113"/>
              <w:jc w:val="center"/>
            </w:pPr>
            <w:r>
              <w:t>№</w:t>
            </w:r>
          </w:p>
          <w:p w:rsidR="001303C6" w:rsidRDefault="001303C6">
            <w:pPr>
              <w:ind w:left="-113" w:right="-113"/>
              <w:jc w:val="center"/>
              <w:rPr>
                <w:b/>
              </w:rPr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6" w:rsidRDefault="001303C6">
            <w:pPr>
              <w:ind w:left="-57" w:right="-57"/>
              <w:jc w:val="center"/>
            </w:pPr>
            <w:r>
              <w:t xml:space="preserve">Наименование имущества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6" w:rsidRDefault="001303C6">
            <w:pPr>
              <w:ind w:left="-113" w:right="-113"/>
              <w:jc w:val="center"/>
            </w:pPr>
            <w:r>
              <w:t>Местонахождение имущества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6" w:rsidRDefault="001303C6">
            <w:pPr>
              <w:jc w:val="center"/>
            </w:pPr>
            <w:r>
              <w:t>Рыночная стоимость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6" w:rsidRDefault="001303C6">
            <w:pPr>
              <w:jc w:val="center"/>
            </w:pPr>
            <w:r>
              <w:t xml:space="preserve">Начальная </w:t>
            </w:r>
          </w:p>
          <w:p w:rsidR="001303C6" w:rsidRDefault="001303C6">
            <w:pPr>
              <w:ind w:right="-57"/>
              <w:jc w:val="center"/>
            </w:pPr>
            <w:r>
              <w:t>цена, руб.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6" w:rsidRDefault="001303C6">
            <w:pPr>
              <w:ind w:left="-1208" w:right="281" w:firstLine="1151"/>
              <w:jc w:val="right"/>
            </w:pPr>
            <w:r>
              <w:t xml:space="preserve">Размер задатка, </w:t>
            </w:r>
          </w:p>
          <w:p w:rsidR="001303C6" w:rsidRDefault="001303C6">
            <w:pPr>
              <w:ind w:left="-1208" w:right="281" w:firstLine="1151"/>
              <w:jc w:val="right"/>
            </w:pPr>
            <w:r>
              <w:t>руб.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6" w:rsidRDefault="001303C6">
            <w:pPr>
              <w:ind w:left="-57" w:right="-57"/>
              <w:jc w:val="center"/>
            </w:pPr>
            <w:r>
              <w:t>Шаг аукциона, руб.</w:t>
            </w:r>
          </w:p>
        </w:tc>
      </w:tr>
      <w:tr w:rsidR="001303C6" w:rsidTr="001303C6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6" w:rsidRDefault="001303C6"/>
          <w:p w:rsidR="001303C6" w:rsidRDefault="001303C6"/>
          <w:p w:rsidR="001303C6" w:rsidRDefault="001303C6"/>
          <w:p w:rsidR="001303C6" w:rsidRDefault="001303C6"/>
          <w:p w:rsidR="001303C6" w:rsidRDefault="001303C6"/>
          <w:p w:rsidR="001303C6" w:rsidRDefault="001303C6"/>
          <w:p w:rsidR="001303C6" w:rsidRDefault="001303C6"/>
          <w:p w:rsidR="001303C6" w:rsidRDefault="001303C6"/>
          <w:p w:rsidR="001303C6" w:rsidRDefault="001303C6"/>
          <w:p w:rsidR="001303C6" w:rsidRDefault="001303C6"/>
          <w:p w:rsidR="001303C6" w:rsidRDefault="001303C6"/>
          <w:p w:rsidR="001303C6" w:rsidRDefault="001303C6"/>
          <w:p w:rsidR="001303C6" w:rsidRDefault="001303C6"/>
          <w:p w:rsidR="001303C6" w:rsidRDefault="001303C6"/>
          <w:p w:rsidR="001303C6" w:rsidRDefault="001303C6"/>
          <w:p w:rsidR="001303C6" w:rsidRDefault="001303C6">
            <w: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6" w:rsidRDefault="001303C6">
            <w:pPr>
              <w:ind w:left="-10" w:right="-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Здание, назначение: нежилое, наименование: столовая. Площадь: 134,5 кв.м. Количество этажей: 1.</w:t>
            </w:r>
          </w:p>
          <w:p w:rsidR="001303C6" w:rsidRDefault="001303C6">
            <w:pPr>
              <w:ind w:right="-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номер: 46:16:170301:724.</w:t>
            </w:r>
          </w:p>
          <w:p w:rsidR="001303C6" w:rsidRDefault="001303C6">
            <w:r>
              <w:rPr>
                <w:sz w:val="23"/>
                <w:szCs w:val="23"/>
              </w:rPr>
              <w:t>Существующих ограничений (обременений) права: не зарегистрировано</w:t>
            </w:r>
            <w:r>
              <w:t>.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6" w:rsidRDefault="001303C6">
            <w:pPr>
              <w:jc w:val="center"/>
              <w:rPr>
                <w:sz w:val="22"/>
                <w:szCs w:val="22"/>
              </w:rPr>
            </w:pPr>
          </w:p>
          <w:p w:rsidR="001303C6" w:rsidRDefault="001303C6">
            <w:pPr>
              <w:jc w:val="center"/>
              <w:rPr>
                <w:sz w:val="22"/>
                <w:szCs w:val="22"/>
              </w:rPr>
            </w:pPr>
          </w:p>
          <w:p w:rsidR="001303C6" w:rsidRDefault="001303C6">
            <w:pPr>
              <w:jc w:val="center"/>
              <w:rPr>
                <w:sz w:val="22"/>
                <w:szCs w:val="22"/>
              </w:rPr>
            </w:pPr>
          </w:p>
          <w:p w:rsidR="001303C6" w:rsidRDefault="001303C6">
            <w:pPr>
              <w:jc w:val="center"/>
              <w:rPr>
                <w:sz w:val="22"/>
                <w:szCs w:val="22"/>
              </w:rPr>
            </w:pPr>
          </w:p>
          <w:p w:rsidR="001303C6" w:rsidRDefault="001303C6">
            <w:pPr>
              <w:jc w:val="center"/>
              <w:rPr>
                <w:sz w:val="22"/>
                <w:szCs w:val="22"/>
              </w:rPr>
            </w:pPr>
          </w:p>
          <w:p w:rsidR="001303C6" w:rsidRDefault="001303C6">
            <w:pPr>
              <w:jc w:val="center"/>
              <w:rPr>
                <w:sz w:val="22"/>
                <w:szCs w:val="22"/>
              </w:rPr>
            </w:pPr>
          </w:p>
          <w:p w:rsidR="001303C6" w:rsidRDefault="001303C6">
            <w:pPr>
              <w:jc w:val="center"/>
              <w:rPr>
                <w:sz w:val="22"/>
                <w:szCs w:val="22"/>
              </w:rPr>
            </w:pPr>
          </w:p>
          <w:p w:rsidR="001303C6" w:rsidRDefault="001303C6">
            <w:pPr>
              <w:jc w:val="center"/>
              <w:rPr>
                <w:sz w:val="22"/>
                <w:szCs w:val="22"/>
              </w:rPr>
            </w:pPr>
          </w:p>
          <w:p w:rsidR="001303C6" w:rsidRDefault="001303C6">
            <w:pPr>
              <w:jc w:val="center"/>
              <w:rPr>
                <w:sz w:val="22"/>
                <w:szCs w:val="22"/>
              </w:rPr>
            </w:pPr>
          </w:p>
          <w:p w:rsidR="001303C6" w:rsidRDefault="001303C6">
            <w:pPr>
              <w:jc w:val="center"/>
              <w:rPr>
                <w:sz w:val="22"/>
                <w:szCs w:val="22"/>
              </w:rPr>
            </w:pPr>
          </w:p>
          <w:p w:rsidR="001303C6" w:rsidRDefault="001303C6">
            <w:pPr>
              <w:jc w:val="center"/>
              <w:rPr>
                <w:sz w:val="22"/>
                <w:szCs w:val="22"/>
              </w:rPr>
            </w:pPr>
          </w:p>
          <w:p w:rsidR="001303C6" w:rsidRDefault="001303C6">
            <w:pPr>
              <w:jc w:val="center"/>
              <w:rPr>
                <w:sz w:val="22"/>
                <w:szCs w:val="22"/>
              </w:rPr>
            </w:pPr>
          </w:p>
          <w:p w:rsidR="001303C6" w:rsidRDefault="001303C6">
            <w:pPr>
              <w:jc w:val="center"/>
              <w:rPr>
                <w:sz w:val="22"/>
                <w:szCs w:val="22"/>
              </w:rPr>
            </w:pPr>
          </w:p>
          <w:p w:rsidR="001303C6" w:rsidRDefault="001303C6">
            <w:pPr>
              <w:jc w:val="center"/>
              <w:rPr>
                <w:sz w:val="22"/>
                <w:szCs w:val="22"/>
              </w:rPr>
            </w:pPr>
          </w:p>
          <w:p w:rsidR="001303C6" w:rsidRDefault="00130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Курская область, </w:t>
            </w:r>
          </w:p>
          <w:p w:rsidR="001303C6" w:rsidRDefault="001303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Обоянский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Рудавец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303C6" w:rsidRDefault="001303C6">
            <w:r>
              <w:rPr>
                <w:sz w:val="22"/>
                <w:szCs w:val="22"/>
              </w:rPr>
              <w:t>ул. Выгон, д. 31а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  <w:r>
              <w:t>170766,00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  <w:r>
              <w:t>274169,00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r>
              <w:t>54833,80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6" w:rsidRDefault="001303C6">
            <w:pPr>
              <w:ind w:left="-250" w:right="-57" w:firstLine="193"/>
              <w:jc w:val="center"/>
            </w:pPr>
          </w:p>
          <w:p w:rsidR="001303C6" w:rsidRDefault="001303C6">
            <w:pPr>
              <w:ind w:left="-250" w:right="-57" w:firstLine="193"/>
              <w:jc w:val="center"/>
            </w:pPr>
          </w:p>
          <w:p w:rsidR="001303C6" w:rsidRDefault="001303C6">
            <w:pPr>
              <w:ind w:left="-250" w:right="-57" w:firstLine="193"/>
              <w:jc w:val="center"/>
            </w:pPr>
          </w:p>
          <w:p w:rsidR="001303C6" w:rsidRDefault="001303C6">
            <w:pPr>
              <w:ind w:left="-250" w:right="-57" w:firstLine="193"/>
              <w:jc w:val="center"/>
            </w:pPr>
          </w:p>
          <w:p w:rsidR="001303C6" w:rsidRDefault="001303C6">
            <w:pPr>
              <w:ind w:left="-250" w:right="-57" w:firstLine="193"/>
              <w:jc w:val="center"/>
            </w:pPr>
          </w:p>
          <w:p w:rsidR="001303C6" w:rsidRDefault="001303C6">
            <w:pPr>
              <w:ind w:left="-250" w:right="-57" w:firstLine="193"/>
              <w:jc w:val="center"/>
            </w:pPr>
          </w:p>
          <w:p w:rsidR="001303C6" w:rsidRDefault="001303C6">
            <w:pPr>
              <w:ind w:left="-250" w:right="-57" w:firstLine="193"/>
              <w:jc w:val="center"/>
            </w:pPr>
          </w:p>
          <w:p w:rsidR="001303C6" w:rsidRDefault="001303C6">
            <w:pPr>
              <w:ind w:left="-250" w:right="-57" w:firstLine="193"/>
              <w:jc w:val="center"/>
            </w:pPr>
          </w:p>
          <w:p w:rsidR="001303C6" w:rsidRDefault="001303C6">
            <w:pPr>
              <w:ind w:left="-250" w:right="-57" w:firstLine="193"/>
              <w:jc w:val="center"/>
            </w:pPr>
          </w:p>
          <w:p w:rsidR="001303C6" w:rsidRDefault="001303C6">
            <w:pPr>
              <w:ind w:left="-250" w:right="-57" w:firstLine="193"/>
              <w:jc w:val="center"/>
            </w:pPr>
          </w:p>
          <w:p w:rsidR="001303C6" w:rsidRDefault="001303C6">
            <w:pPr>
              <w:ind w:left="-250" w:right="-57" w:firstLine="193"/>
              <w:jc w:val="center"/>
            </w:pPr>
          </w:p>
          <w:p w:rsidR="001303C6" w:rsidRDefault="001303C6">
            <w:pPr>
              <w:ind w:left="-250" w:right="-57" w:firstLine="193"/>
              <w:jc w:val="center"/>
            </w:pPr>
          </w:p>
          <w:p w:rsidR="001303C6" w:rsidRDefault="001303C6">
            <w:pPr>
              <w:ind w:left="-250" w:right="-57" w:firstLine="193"/>
              <w:jc w:val="center"/>
            </w:pPr>
          </w:p>
          <w:p w:rsidR="001303C6" w:rsidRDefault="001303C6">
            <w:pPr>
              <w:ind w:left="-250" w:right="-57" w:firstLine="193"/>
              <w:jc w:val="center"/>
            </w:pPr>
          </w:p>
          <w:p w:rsidR="001303C6" w:rsidRDefault="001303C6">
            <w:pPr>
              <w:ind w:left="-250" w:right="-57" w:firstLine="193"/>
              <w:jc w:val="center"/>
            </w:pPr>
          </w:p>
          <w:p w:rsidR="001303C6" w:rsidRDefault="001303C6">
            <w:pPr>
              <w:ind w:left="-250" w:right="-57" w:firstLine="193"/>
              <w:jc w:val="center"/>
            </w:pPr>
            <w:r>
              <w:t>13708,45</w:t>
            </w:r>
          </w:p>
        </w:tc>
      </w:tr>
      <w:tr w:rsidR="001303C6" w:rsidTr="00130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C6" w:rsidRDefault="001303C6">
            <w:pPr>
              <w:widowControl/>
              <w:suppressAutoHyphens w:val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6" w:rsidRDefault="001303C6">
            <w:r>
              <w:rPr>
                <w:sz w:val="23"/>
                <w:szCs w:val="23"/>
              </w:rPr>
              <w:t>Земельный участок, категория земель: Земли населенных пунктов, вид разрешенного использования: общественное питание. Площадь: 360 кв.м. Кадастровый номер: 46:16:170301:721. Существующих ограничений (обременений) права: не зарегистрировано.</w:t>
            </w:r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C6" w:rsidRDefault="001303C6">
            <w:pPr>
              <w:widowControl/>
              <w:suppressAutoHyphens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</w:p>
          <w:p w:rsidR="001303C6" w:rsidRDefault="001303C6">
            <w:pPr>
              <w:jc w:val="center"/>
            </w:pPr>
            <w:r>
              <w:t>103403,00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C6" w:rsidRDefault="001303C6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C6" w:rsidRDefault="001303C6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C6" w:rsidRDefault="001303C6">
            <w:pPr>
              <w:widowControl/>
              <w:suppressAutoHyphens w:val="0"/>
            </w:pPr>
          </w:p>
        </w:tc>
      </w:tr>
    </w:tbl>
    <w:p w:rsidR="001303C6" w:rsidRDefault="001303C6" w:rsidP="001303C6">
      <w:pPr>
        <w:widowControl/>
        <w:suppressAutoHyphens w:val="0"/>
        <w:sectPr w:rsidR="001303C6">
          <w:pgSz w:w="11906" w:h="16838"/>
          <w:pgMar w:top="1134" w:right="1247" w:bottom="1134" w:left="1559" w:header="709" w:footer="709" w:gutter="0"/>
          <w:cols w:space="720"/>
        </w:sectPr>
      </w:pPr>
    </w:p>
    <w:p w:rsidR="001303C6" w:rsidRDefault="001303C6" w:rsidP="001303C6"/>
    <w:p w:rsidR="00741771" w:rsidRDefault="00741771"/>
    <w:sectPr w:rsidR="00741771" w:rsidSect="005E640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A4"/>
    <w:rsid w:val="00011CAE"/>
    <w:rsid w:val="001303C6"/>
    <w:rsid w:val="00176814"/>
    <w:rsid w:val="005E6409"/>
    <w:rsid w:val="00604BD2"/>
    <w:rsid w:val="006F428E"/>
    <w:rsid w:val="00741771"/>
    <w:rsid w:val="00920474"/>
    <w:rsid w:val="009A60A4"/>
    <w:rsid w:val="00C84F0D"/>
    <w:rsid w:val="00DE79C4"/>
    <w:rsid w:val="00F8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B266520-8935-1E47-930F-47BCDBC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3C6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03C6"/>
    <w:pPr>
      <w:widowControl w:val="0"/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Гость</cp:lastModifiedBy>
  <cp:revision>2</cp:revision>
  <dcterms:created xsi:type="dcterms:W3CDTF">2022-08-03T08:11:00Z</dcterms:created>
  <dcterms:modified xsi:type="dcterms:W3CDTF">2022-08-03T08:11:00Z</dcterms:modified>
</cp:coreProperties>
</file>